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000" w:firstRow="0" w:lastRow="0" w:firstColumn="0" w:lastColumn="0" w:noHBand="0" w:noVBand="0"/>
      </w:tblPr>
      <w:tblGrid>
        <w:gridCol w:w="9576"/>
      </w:tblGrid>
      <w:tr w:rsidR="00673CE7">
        <w:tblPrEx>
          <w:tblCellMar>
            <w:top w:w="0" w:type="dxa"/>
            <w:left w:w="0" w:type="dxa"/>
            <w:bottom w:w="0" w:type="dxa"/>
            <w:right w:w="0" w:type="dxa"/>
          </w:tblCellMar>
        </w:tblPrEx>
        <w:trPr>
          <w:cantSplit/>
          <w:trHeight w:val="2880"/>
          <w:jc w:val="center"/>
        </w:trPr>
        <w:tc>
          <w:tcPr>
            <w:tcW w:w="9576" w:type="dxa"/>
            <w:tcBorders>
              <w:top w:val="nil"/>
              <w:left w:val="nil"/>
              <w:bottom w:val="nil"/>
              <w:right w:val="nil"/>
            </w:tcBorders>
          </w:tcPr>
          <w:p w:rsidR="00673CE7" w:rsidRDefault="00673CE7">
            <w:pPr>
              <w:pStyle w:val="NoSpacing"/>
              <w:jc w:val="center"/>
              <w:rPr>
                <w:rFonts w:ascii="Calibri" w:hAnsi="Calibri" w:cs="Calibri"/>
                <w:color w:val="000000"/>
                <w:sz w:val="22"/>
                <w:szCs w:val="22"/>
              </w:rPr>
            </w:pPr>
          </w:p>
        </w:tc>
      </w:tr>
      <w:tr w:rsidR="00673CE7">
        <w:tblPrEx>
          <w:tblCellMar>
            <w:top w:w="0" w:type="dxa"/>
            <w:left w:w="0" w:type="dxa"/>
            <w:bottom w:w="0" w:type="dxa"/>
            <w:right w:w="0" w:type="dxa"/>
          </w:tblCellMar>
        </w:tblPrEx>
        <w:trPr>
          <w:cantSplit/>
          <w:trHeight w:val="1440"/>
          <w:jc w:val="center"/>
        </w:trPr>
        <w:tc>
          <w:tcPr>
            <w:tcW w:w="9576" w:type="dxa"/>
            <w:tcBorders>
              <w:top w:val="nil"/>
              <w:left w:val="nil"/>
              <w:bottom w:val="single" w:sz="4" w:space="0" w:color="4F81BD"/>
              <w:right w:val="nil"/>
            </w:tcBorders>
          </w:tcPr>
          <w:p w:rsidR="00673CE7" w:rsidRDefault="00673CE7">
            <w:pPr>
              <w:pStyle w:val="NoSpacing"/>
              <w:jc w:val="center"/>
              <w:rPr>
                <w:rFonts w:ascii="Calibri" w:hAnsi="Calibri" w:cs="Calibri"/>
                <w:b/>
                <w:bCs/>
                <w:color w:val="000000"/>
                <w:sz w:val="32"/>
                <w:szCs w:val="32"/>
              </w:rPr>
            </w:pPr>
            <w:r>
              <w:rPr>
                <w:rFonts w:ascii="Calibri" w:hAnsi="Calibri" w:cs="Calibri"/>
                <w:b/>
                <w:bCs/>
                <w:color w:val="000000"/>
                <w:sz w:val="32"/>
                <w:szCs w:val="32"/>
              </w:rPr>
              <w:t>POLICY GUIDELINES FOR THE ESTABLISHMENT AND OPERATION OF PRIMARY HEALTH CARE FACILITY COMMITTEES</w:t>
            </w:r>
          </w:p>
        </w:tc>
      </w:tr>
      <w:tr w:rsidR="00673CE7">
        <w:tblPrEx>
          <w:tblCellMar>
            <w:top w:w="0" w:type="dxa"/>
            <w:left w:w="0" w:type="dxa"/>
            <w:bottom w:w="0" w:type="dxa"/>
            <w:right w:w="0" w:type="dxa"/>
          </w:tblCellMar>
        </w:tblPrEx>
        <w:trPr>
          <w:cantSplit/>
          <w:trHeight w:val="720"/>
          <w:jc w:val="center"/>
        </w:trPr>
        <w:tc>
          <w:tcPr>
            <w:tcW w:w="9576" w:type="dxa"/>
            <w:tcBorders>
              <w:top w:val="single" w:sz="4" w:space="0" w:color="4F81BD"/>
              <w:left w:val="nil"/>
              <w:bottom w:val="nil"/>
              <w:right w:val="nil"/>
            </w:tcBorders>
          </w:tcPr>
          <w:p w:rsidR="00673CE7" w:rsidRDefault="00673CE7">
            <w:pPr>
              <w:pStyle w:val="NoSpacing"/>
              <w:jc w:val="center"/>
              <w:rPr>
                <w:rFonts w:ascii="Calibri" w:hAnsi="Calibri" w:cs="Calibri"/>
                <w:color w:val="000000"/>
                <w:sz w:val="44"/>
                <w:szCs w:val="44"/>
              </w:rPr>
            </w:pPr>
            <w:r>
              <w:rPr>
                <w:rFonts w:ascii="Cambria" w:hAnsi="Cambria" w:cs="Cambria"/>
                <w:color w:val="000000"/>
                <w:sz w:val="44"/>
                <w:szCs w:val="44"/>
              </w:rPr>
              <w:t>DRAFT 1</w:t>
            </w:r>
          </w:p>
        </w:tc>
      </w:tr>
      <w:tr w:rsidR="00673CE7">
        <w:tblPrEx>
          <w:tblCellMar>
            <w:top w:w="0" w:type="dxa"/>
            <w:left w:w="0" w:type="dxa"/>
            <w:bottom w:w="0" w:type="dxa"/>
            <w:right w:w="0" w:type="dxa"/>
          </w:tblCellMar>
        </w:tblPrEx>
        <w:trPr>
          <w:cantSplit/>
          <w:trHeight w:val="360"/>
          <w:jc w:val="center"/>
        </w:trPr>
        <w:tc>
          <w:tcPr>
            <w:tcW w:w="9576" w:type="dxa"/>
            <w:tcBorders>
              <w:top w:val="nil"/>
              <w:left w:val="nil"/>
              <w:bottom w:val="nil"/>
              <w:right w:val="nil"/>
            </w:tcBorders>
          </w:tcPr>
          <w:p w:rsidR="00673CE7" w:rsidRDefault="00673CE7">
            <w:pPr>
              <w:autoSpaceDE w:val="0"/>
              <w:autoSpaceDN w:val="0"/>
              <w:adjustRightInd w:val="0"/>
              <w:spacing w:after="0" w:line="240" w:lineRule="auto"/>
              <w:jc w:val="center"/>
              <w:rPr>
                <w:rFonts w:ascii="Calibri" w:hAnsi="Calibri" w:cs="Calibri"/>
                <w:color w:val="000000"/>
                <w:sz w:val="44"/>
                <w:szCs w:val="44"/>
              </w:rPr>
            </w:pPr>
          </w:p>
        </w:tc>
      </w:tr>
      <w:tr w:rsidR="00673CE7">
        <w:tblPrEx>
          <w:tblCellMar>
            <w:top w:w="0" w:type="dxa"/>
            <w:left w:w="0" w:type="dxa"/>
            <w:bottom w:w="0" w:type="dxa"/>
            <w:right w:w="0" w:type="dxa"/>
          </w:tblCellMar>
        </w:tblPrEx>
        <w:trPr>
          <w:cantSplit/>
          <w:trHeight w:val="360"/>
          <w:jc w:val="center"/>
        </w:trPr>
        <w:tc>
          <w:tcPr>
            <w:tcW w:w="9576" w:type="dxa"/>
            <w:tcBorders>
              <w:top w:val="nil"/>
              <w:left w:val="nil"/>
              <w:bottom w:val="nil"/>
              <w:right w:val="nil"/>
            </w:tcBorders>
          </w:tcPr>
          <w:p w:rsidR="00673CE7" w:rsidRDefault="00673CE7">
            <w:pPr>
              <w:autoSpaceDE w:val="0"/>
              <w:autoSpaceDN w:val="0"/>
              <w:adjustRightInd w:val="0"/>
              <w:spacing w:after="0" w:line="240" w:lineRule="auto"/>
              <w:jc w:val="center"/>
              <w:rPr>
                <w:rFonts w:ascii="Calibri" w:hAnsi="Calibri" w:cs="Calibri"/>
                <w:color w:val="000000"/>
                <w:sz w:val="44"/>
                <w:szCs w:val="44"/>
              </w:rPr>
            </w:pPr>
          </w:p>
        </w:tc>
      </w:tr>
      <w:tr w:rsidR="00673CE7">
        <w:tblPrEx>
          <w:tblCellMar>
            <w:top w:w="0" w:type="dxa"/>
            <w:left w:w="0" w:type="dxa"/>
            <w:bottom w:w="0" w:type="dxa"/>
            <w:right w:w="0" w:type="dxa"/>
          </w:tblCellMar>
        </w:tblPrEx>
        <w:trPr>
          <w:cantSplit/>
          <w:trHeight w:val="360"/>
          <w:jc w:val="center"/>
        </w:trPr>
        <w:tc>
          <w:tcPr>
            <w:tcW w:w="9576" w:type="dxa"/>
            <w:tcBorders>
              <w:top w:val="nil"/>
              <w:left w:val="nil"/>
              <w:bottom w:val="nil"/>
              <w:right w:val="nil"/>
            </w:tcBorders>
          </w:tcPr>
          <w:p w:rsidR="00673CE7" w:rsidRDefault="00673CE7">
            <w:pPr>
              <w:pStyle w:val="NoSpacing"/>
              <w:jc w:val="center"/>
              <w:rPr>
                <w:rFonts w:ascii="Calibri" w:hAnsi="Calibri" w:cs="Calibri"/>
                <w:b/>
                <w:bCs/>
                <w:color w:val="000000"/>
                <w:sz w:val="22"/>
                <w:szCs w:val="22"/>
              </w:rPr>
            </w:pPr>
            <w:r>
              <w:rPr>
                <w:rFonts w:ascii="Calibri" w:hAnsi="Calibri" w:cs="Calibri"/>
                <w:b/>
                <w:bCs/>
                <w:color w:val="000000"/>
                <w:sz w:val="22"/>
                <w:szCs w:val="22"/>
              </w:rPr>
              <w:t>4/1/2009</w:t>
            </w:r>
          </w:p>
        </w:tc>
      </w:tr>
    </w:tbl>
    <w:p w:rsidR="00673CE7" w:rsidRDefault="00673CE7" w:rsidP="00673CE7">
      <w:pPr>
        <w:pStyle w:val="NoSpacing"/>
        <w:rPr>
          <w:rFonts w:ascii="Calibri" w:hAnsi="Calibri" w:cs="Calibri"/>
          <w:b/>
          <w:bCs/>
          <w:color w:val="000000"/>
          <w:sz w:val="22"/>
          <w:szCs w:val="22"/>
        </w:rPr>
      </w:pPr>
    </w:p>
    <w:p w:rsidR="00673CE7" w:rsidRDefault="00673CE7" w:rsidP="00673CE7">
      <w:pPr>
        <w:autoSpaceDE w:val="0"/>
        <w:autoSpaceDN w:val="0"/>
        <w:adjustRightInd w:val="0"/>
        <w:spacing w:after="0" w:line="240" w:lineRule="auto"/>
        <w:rPr>
          <w:rFonts w:ascii="Times New Roman" w:hAnsi="Times New Roman" w:cs="Times New Roman"/>
          <w:b/>
          <w:bCs/>
          <w:color w:val="000000"/>
        </w:rPr>
      </w:pPr>
    </w:p>
    <w:p w:rsidR="00673CE7" w:rsidRDefault="00673CE7" w:rsidP="00673CE7">
      <w:pPr>
        <w:autoSpaceDE w:val="0"/>
        <w:autoSpaceDN w:val="0"/>
        <w:adjustRightInd w:val="0"/>
        <w:spacing w:after="0" w:line="240" w:lineRule="auto"/>
        <w:rPr>
          <w:rFonts w:ascii="Times New Roman" w:hAnsi="Times New Roman" w:cs="Times New Roman"/>
          <w:b/>
          <w:bCs/>
          <w:color w:val="000000"/>
        </w:rPr>
      </w:pPr>
    </w:p>
    <w:p w:rsidR="00673CE7" w:rsidRDefault="00673CE7" w:rsidP="00673CE7">
      <w:pPr>
        <w:autoSpaceDE w:val="0"/>
        <w:autoSpaceDN w:val="0"/>
        <w:adjustRightInd w:val="0"/>
        <w:spacing w:after="0" w:line="240" w:lineRule="auto"/>
        <w:rPr>
          <w:rFonts w:ascii="Times New Roman" w:hAnsi="Times New Roman" w:cs="Times New Roman"/>
          <w:b/>
          <w:bCs/>
          <w:color w:val="000000"/>
        </w:rPr>
      </w:pPr>
    </w:p>
    <w:p w:rsidR="00673CE7" w:rsidRDefault="00673CE7" w:rsidP="00673CE7">
      <w:pPr>
        <w:autoSpaceDE w:val="0"/>
        <w:autoSpaceDN w:val="0"/>
        <w:adjustRightInd w:val="0"/>
        <w:spacing w:after="0" w:line="240" w:lineRule="auto"/>
        <w:rPr>
          <w:rFonts w:ascii="Calibri" w:hAnsi="Calibri" w:cs="Calibri"/>
          <w:b/>
          <w:bCs/>
          <w:color w:val="000000"/>
        </w:rPr>
      </w:pPr>
    </w:p>
    <w:p w:rsidR="00673CE7" w:rsidRDefault="00673CE7" w:rsidP="00673CE7">
      <w:pPr>
        <w:pStyle w:val="NoSpacing"/>
        <w:spacing w:before="240" w:after="60"/>
        <w:jc w:val="both"/>
        <w:rPr>
          <w:rFonts w:ascii="Calibri" w:hAnsi="Calibri" w:cs="Calibri"/>
          <w:b/>
          <w:bCs/>
          <w:color w:val="000000"/>
          <w:sz w:val="22"/>
          <w:szCs w:val="22"/>
        </w:rPr>
      </w:pPr>
      <w:r>
        <w:rPr>
          <w:rFonts w:ascii="Calibri" w:hAnsi="Calibri" w:cs="Calibri"/>
          <w:b/>
          <w:bCs/>
          <w:color w:val="000000"/>
          <w:sz w:val="22"/>
          <w:szCs w:val="22"/>
        </w:rPr>
        <w:t xml:space="preserve">PRIMARY HEALTH CARE FACILITY COMMITTEES </w:t>
      </w:r>
    </w:p>
    <w:p w:rsidR="00673CE7" w:rsidRDefault="00673CE7" w:rsidP="00673CE7">
      <w:pPr>
        <w:autoSpaceDE w:val="0"/>
        <w:autoSpaceDN w:val="0"/>
        <w:adjustRightInd w:val="0"/>
        <w:spacing w:before="240" w:after="60" w:line="240" w:lineRule="auto"/>
        <w:jc w:val="both"/>
        <w:rPr>
          <w:rFonts w:ascii="Calibri" w:hAnsi="Calibri" w:cs="Calibri"/>
          <w:b/>
          <w:bCs/>
          <w:color w:val="000000"/>
        </w:rPr>
      </w:pPr>
    </w:p>
    <w:p w:rsidR="00673CE7" w:rsidRDefault="00673CE7" w:rsidP="00673CE7">
      <w:pPr>
        <w:pStyle w:val="NoSpacing"/>
        <w:rPr>
          <w:rFonts w:ascii="Calibri" w:hAnsi="Calibri" w:cs="Calibri"/>
          <w:b/>
          <w:bCs/>
          <w:color w:val="000000"/>
          <w:sz w:val="22"/>
          <w:szCs w:val="22"/>
        </w:rPr>
      </w:pPr>
      <w:r>
        <w:rPr>
          <w:rFonts w:ascii="Calibri" w:hAnsi="Calibri" w:cs="Calibri"/>
          <w:b/>
          <w:bCs/>
          <w:color w:val="000000"/>
          <w:sz w:val="22"/>
          <w:szCs w:val="22"/>
        </w:rPr>
        <w:t>PREAMBLE:</w:t>
      </w:r>
    </w:p>
    <w:p w:rsidR="00673CE7" w:rsidRDefault="00673CE7" w:rsidP="00673CE7">
      <w:pPr>
        <w:autoSpaceDE w:val="0"/>
        <w:autoSpaceDN w:val="0"/>
        <w:adjustRightInd w:val="0"/>
        <w:spacing w:after="0" w:line="240" w:lineRule="auto"/>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The need for improved service delivery and coordinated services that respond to the needs of the communities served, requires a system of governance that enables all stakeholders to contribute and participate in designing and shaping the types of services to be provided. </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It is crucial that organs of state are publicly held liable for the nature of services and use of resources entrusted to them through public participation. This endeavour can only be carried out effectively and efficiently through strengthening the Governance system in the department. </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It is enshrined in the South African constitution that the government will involve the community in the work that they do. This implies that governance will be put in place within community structures. Community governance structures promote effective and efficient governance through public participation, involvement and ownership.</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lastRenderedPageBreak/>
        <w:t xml:space="preserve">Background: </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The Primary Health Care Facility Committees (also referred to as Clinic Committees) are statutory bodies appointed by the Member of Executive Council (MEC) for Health according to Section 42 of the National Health Act, No. 61 of 2003. </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Though the National Health Act (referred to above) provides for the development of Provincial Legislation to give effect to the establishment of Clinic Committees in the Province; Gauteng is still yet to develop such legislation. However the Gauteng Department of Health through the Provincial Health Council has approved the Terms of Reference for the Clinic Committees which can be summarized as follows:  </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Objectives of the PHC Facility Committee</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tabs>
          <w:tab w:val="left" w:pos="4320"/>
          <w:tab w:val="left" w:pos="8640"/>
        </w:tabs>
        <w:jc w:val="both"/>
        <w:rPr>
          <w:rFonts w:ascii="Calibri" w:hAnsi="Calibri" w:cs="Calibri"/>
          <w:color w:val="000000"/>
          <w:sz w:val="22"/>
          <w:szCs w:val="22"/>
        </w:rPr>
      </w:pPr>
      <w:r>
        <w:rPr>
          <w:rFonts w:ascii="Calibri" w:hAnsi="Calibri" w:cs="Calibri"/>
          <w:color w:val="000000"/>
          <w:sz w:val="22"/>
          <w:szCs w:val="22"/>
        </w:rPr>
        <w:t xml:space="preserve">The main objectives of the PHC facility Committees are: </w:t>
      </w:r>
    </w:p>
    <w:p w:rsidR="00673CE7" w:rsidRDefault="00673CE7" w:rsidP="00673CE7">
      <w:pPr>
        <w:tabs>
          <w:tab w:val="left" w:pos="4320"/>
          <w:tab w:val="left" w:pos="8640"/>
        </w:tabs>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To assist the PHC Facility to address the health needs of the community served by that PHC facility;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To ensure that the PHC Facility management and staff are accountable to the community they serve;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To ensure that the PHC Facility is responsive to community needs with regard to:</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Representativity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Inclusivity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Cooperative governance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Integration</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Composition:</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It has been determined that the committee shall comprise of the following: </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One or more local government Councillors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head of the PHC Facility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One or more members of the community served by the PHC Facility.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 representative of the ward committee(s) in the community served by the PHC facility, where ward committees are functional.</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Chairperson:</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Committee shall elect in its first meeting the Chairperson amongst its members by ballot. The Chairperson cannot be an official from the Department.</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In the event that the chairperson is absent from the meeting the members present will elect an acting chairperson for that meeting</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Treasurer</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Committee shall elect a treasurer with the relevant financial skills at the first meeting</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 xml:space="preserve"> Powers and Functions of PHC Facility Committees</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Promote the mission, vision and values of the PHC facility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Advise the management on the formulation of PHC facility policies and strategies.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Participate in strategic planning and operational processes with a view to advising the management.</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Ensure that measures are taken by management to improve the performance and quality of service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lastRenderedPageBreak/>
        <w:t>Fullfil an oversight role with respect to the performance, effectiveness and efficiency including the maintenance of the PHC facility.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Takes measures to ensure that needs, concerns and complaints of clients and the community are properly addressed by management</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Foster community participation and accountability e.g. support for the facility, staff and the committee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Raise funds and resources for the committee according to prescribed Provincial Treasury regulations.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To feedback to the community together with the head of the facility</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color w:val="000000"/>
        </w:rPr>
        <w:tab/>
      </w:r>
      <w:r>
        <w:rPr>
          <w:rFonts w:ascii="Calibri" w:hAnsi="Calibri" w:cs="Calibri"/>
          <w:b/>
          <w:bCs/>
          <w:color w:val="000000"/>
          <w:sz w:val="22"/>
          <w:szCs w:val="22"/>
        </w:rPr>
        <w:t xml:space="preserve">Advocacy and Fundraising </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Act as advocate of PHC Facility interests to the community at large.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Build support for the PHC Facility by fostering partnership in the wider community.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Raise additional funds for the PHC Facility in accordance with relevant legislation and prescripts and assist management in deploying these funds appropriately.</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color w:val="000000"/>
        </w:rPr>
        <w:tab/>
      </w:r>
      <w:r>
        <w:rPr>
          <w:rFonts w:ascii="Calibri" w:hAnsi="Calibri" w:cs="Calibri"/>
          <w:b/>
          <w:bCs/>
          <w:color w:val="000000"/>
          <w:sz w:val="22"/>
          <w:szCs w:val="22"/>
        </w:rPr>
        <w:t>Delegation of powers</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It is a statutory requirement according the National Health Act to establish these committees.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MEC may delegate to any official all or some of her / his powers in respect of the appointment and functioning of PHC Facility committees.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 xml:space="preserve">    Appointment of Committee members</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Members to be elected by the local community served by the PHC facility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Once election completed these nominees will be appointed by the MEC</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MEC will invite nominations from interested and qualifying individuals to sit on the Committee.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From one or more local government councillor</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In the case of community representatives, such invitations will  be advertised through the media.</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In the case of employee representatives it would be the head of the PHC Facility.</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The MEC will appoint the Committee after receiving nominations from stakeholders </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Eligibility to be a Committee member</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following persons may qualify for appointment or if serving for re-appointment to the Committee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Person older than 18 years of age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Persons who has not been certified by a court of law as being of unsound mind</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Persons who have not previously been convicted of a crime without an option of a fine, unless: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They have received a free pardon</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 period of ten (10) years has expired since release from prison and certified as fully rehabilitated by the Department of Correctional Services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person must reside in the community served by the PHC facility.</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rPr>
          <w:rFonts w:ascii="Calibri" w:hAnsi="Calibri" w:cs="Calibri"/>
          <w:color w:val="000000"/>
          <w:sz w:val="22"/>
          <w:szCs w:val="22"/>
        </w:rPr>
      </w:pPr>
      <w:r>
        <w:rPr>
          <w:rFonts w:ascii="Calibri" w:hAnsi="Calibri" w:cs="Calibri"/>
          <w:color w:val="000000"/>
          <w:sz w:val="22"/>
          <w:szCs w:val="22"/>
        </w:rPr>
        <w:lastRenderedPageBreak/>
        <w:t>Term of office of the Committee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term of office will be for three (3) years at a time.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 member appointed to fill a vacancy will serve for the remainder of the term of the office of the member being replaced.</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Committee members will be eligible for re-election for a maximum of three (3) terms.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8.</w:t>
      </w:r>
      <w:r>
        <w:rPr>
          <w:rFonts w:ascii="Calibri" w:hAnsi="Calibri" w:cs="Calibri"/>
          <w:b/>
          <w:bCs/>
          <w:color w:val="000000"/>
          <w:sz w:val="22"/>
          <w:szCs w:val="22"/>
        </w:rPr>
        <w:tab/>
        <w:t>Vacancies in the Committee</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Term of office becomes vacant, when</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Member dies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Member resigns in writing through Chairperson.</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Verbal resignations may be accepted in exceptional circumstances in a full Committee meeting and minuted</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 member who absents himself / herself for three (3) consecutive ordinary meetings of the Committee without leave of the Committee will be deemed to have resigned and his / her office will be declared vacant by the Chairperson of the Committee at a full Committee meeting.</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If a member is found guilty of a crime without an option of a fine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8.1</w:t>
      </w:r>
      <w:r>
        <w:rPr>
          <w:rFonts w:ascii="Calibri" w:hAnsi="Calibri" w:cs="Calibri"/>
          <w:color w:val="000000"/>
          <w:sz w:val="22"/>
          <w:szCs w:val="22"/>
        </w:rPr>
        <w:tab/>
        <w:t xml:space="preserve">Vacancies will be filled as contemplated in 5 above within 90 days of </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being vacant</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9.     Termination of membership of the Committee, appointment of provisional Committees or appointment of persons to exercise the rights, powers duties or functions of the Committees</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9.1</w:t>
      </w:r>
      <w:r>
        <w:rPr>
          <w:rFonts w:ascii="Calibri" w:hAnsi="Calibri" w:cs="Calibri"/>
          <w:color w:val="000000"/>
          <w:sz w:val="22"/>
          <w:szCs w:val="22"/>
        </w:rPr>
        <w:tab/>
        <w:t>The MEC, notwithstanding anything to the contrary contained in the relevant Act, may terminate the term of office of all members of the Committee effective from a certain date under the following circumstances: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Committee fails to meet for a period of 6 months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Committee fails to perform duties and functions as stipulated by the National and Provincial Health Acts and Regulations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Committee acts outside its mandate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Committee exercises rights, powers, duties or functions in an improper manner or to the detriment of a Committee for which it has been constituted</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Committee membership can no longer constitute a quorum (50% + 1 of voting members)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ab/>
        <w:t>If a Committee is terminated as in 9.1 above, the MEC may;</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Appoint a new Committee as per the provisions in 5 above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Appoint a  interim Committee whose term of office will not be more than one (1) year and will be appointed subject to the following:</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number of members of this interim Committee will be equal to those of the outgoing Committee.</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Before the expiry of the term of office of the interim Committee, the MEC will appoint a new Committee in terms of the National and Provincial Act and Regulations.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lastRenderedPageBreak/>
        <w:t>The newly appointed Committee will only assume office the day after the expiry of the provisional Committee.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ab/>
        <w:t xml:space="preserve">Appoint a person or persons to exercise any rights, powers, duties </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and/or functions of a Committee, which for any reason is unable to function. Such appointment should not exceed one year and a permanent Committee should be appointed as in above 5(i) and 5 (ii) above.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ab/>
        <w:t xml:space="preserve">Notwithstanding the above, all the provisions of the Committee as    </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contained in the National and Provincial Health Act and Regulations will apply to provisional Committees as well.</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11.</w:t>
      </w:r>
      <w:r>
        <w:rPr>
          <w:rFonts w:ascii="Calibri" w:hAnsi="Calibri" w:cs="Calibri"/>
          <w:b/>
          <w:bCs/>
          <w:color w:val="000000"/>
          <w:sz w:val="22"/>
          <w:szCs w:val="22"/>
        </w:rPr>
        <w:tab/>
        <w:t>Support from the department to the health committees</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Capacity development for committee members</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head of the PHC facility will provide Health Committee members with access to telephone, fax, computers (if available) and photocopier to facilitate the smooth running of the committee.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11.1 Secretary: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H ead of the PHC Facility will provide the secretariat for the committee. Should the head of the PHC Facility be absent at any meeting he is to send a representative.</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 xml:space="preserve">Meetings: </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tabs>
          <w:tab w:val="left" w:pos="4320"/>
          <w:tab w:val="left" w:pos="8640"/>
        </w:tabs>
        <w:jc w:val="both"/>
        <w:rPr>
          <w:rFonts w:ascii="Calibri" w:hAnsi="Calibri" w:cs="Calibri"/>
          <w:color w:val="000000"/>
          <w:sz w:val="22"/>
          <w:szCs w:val="22"/>
        </w:rPr>
      </w:pPr>
      <w:r>
        <w:rPr>
          <w:rFonts w:ascii="Calibri" w:hAnsi="Calibri" w:cs="Calibri"/>
          <w:color w:val="000000"/>
          <w:sz w:val="22"/>
          <w:szCs w:val="22"/>
        </w:rPr>
        <w:t>The Committee shall meet monthly</w:t>
      </w:r>
    </w:p>
    <w:p w:rsidR="00673CE7" w:rsidRDefault="00673CE7" w:rsidP="00673CE7">
      <w:pPr>
        <w:tabs>
          <w:tab w:val="left" w:pos="4320"/>
          <w:tab w:val="left" w:pos="8640"/>
        </w:tabs>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 xml:space="preserve">Remuneration of Clinic Committee Members </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The MEC shall, with the concurrence of the MEC of Finance determine the fees, allowances and other payments payable to members of the committee for Travel and incidental expenses of members which may be revised from time to time. </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rPr>
          <w:rFonts w:ascii="Calibri" w:hAnsi="Calibri" w:cs="Calibri"/>
          <w:color w:val="000000"/>
          <w:sz w:val="22"/>
          <w:szCs w:val="22"/>
        </w:rPr>
      </w:pPr>
      <w:r>
        <w:rPr>
          <w:rFonts w:ascii="Calibri" w:hAnsi="Calibri" w:cs="Calibri"/>
          <w:color w:val="000000"/>
          <w:sz w:val="22"/>
          <w:szCs w:val="22"/>
        </w:rPr>
        <w:t>Members will be paid an hourly allowance for attending regular meetings and for other time dedicated exclusively to the work of the facility.</w:t>
      </w:r>
    </w:p>
    <w:p w:rsidR="00673CE7" w:rsidRDefault="00673CE7" w:rsidP="00673CE7">
      <w:pPr>
        <w:autoSpaceDE w:val="0"/>
        <w:autoSpaceDN w:val="0"/>
        <w:adjustRightInd w:val="0"/>
        <w:spacing w:after="0" w:line="240" w:lineRule="auto"/>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following shall be considered when deciding on the level of remuneration of committee members: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The level of the institution in terms of the facility</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clinics or community health centres are ordinarily not large as institutions like hospitals.  The composition of the clinics and /or community centres include the facility manager and other few support staff members as compared to a hospital which has a large number of specialist and support staff at levels that are much senior than clinics and community centres.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The type of functions that members are expected to discharge.</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See powers and Functions of the Clinic Committee Members above.</w:t>
      </w:r>
    </w:p>
    <w:p w:rsidR="00673CE7" w:rsidRDefault="00673CE7" w:rsidP="00673CE7">
      <w:pPr>
        <w:autoSpaceDE w:val="0"/>
        <w:autoSpaceDN w:val="0"/>
        <w:adjustRightInd w:val="0"/>
        <w:spacing w:after="0" w:line="240" w:lineRule="auto"/>
        <w:jc w:val="both"/>
        <w:rPr>
          <w:rFonts w:ascii="Calibri" w:hAnsi="Calibri" w:cs="Calibri"/>
          <w:color w:val="0070C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Following the evaluation of the terms of reference, competencies or expertise and size of the institution and the use of a National Treasury document on remuneration of statutory bodies, the following is proposed as a starting scale for the remuneration of clinic committee members.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b/>
          <w:bCs/>
          <w:color w:val="000000"/>
          <w:sz w:val="22"/>
          <w:szCs w:val="22"/>
        </w:rPr>
      </w:pPr>
      <w:r>
        <w:rPr>
          <w:rFonts w:ascii="Calibri" w:hAnsi="Calibri" w:cs="Calibri"/>
          <w:b/>
          <w:bCs/>
          <w:color w:val="000000"/>
          <w:sz w:val="22"/>
          <w:szCs w:val="22"/>
        </w:rPr>
        <w:t>13.1 Financial Implications</w:t>
      </w:r>
    </w:p>
    <w:p w:rsidR="00673CE7" w:rsidRDefault="00673CE7" w:rsidP="00673CE7">
      <w:pPr>
        <w:autoSpaceDE w:val="0"/>
        <w:autoSpaceDN w:val="0"/>
        <w:adjustRightInd w:val="0"/>
        <w:spacing w:after="0" w:line="240" w:lineRule="auto"/>
        <w:jc w:val="both"/>
        <w:rPr>
          <w:rFonts w:ascii="Calibri" w:hAnsi="Calibri" w:cs="Calibri"/>
          <w:b/>
          <w:bCs/>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The illustration below is the remuneration and expenditure for proposed amounts for Clinic Committees.</w:t>
      </w: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Proposed Remuneration of Clinic Committee Members for 2009/10 Financial Year</w:t>
      </w:r>
    </w:p>
    <w:p w:rsidR="00673CE7" w:rsidRDefault="00673CE7" w:rsidP="00673CE7">
      <w:pPr>
        <w:autoSpaceDE w:val="0"/>
        <w:autoSpaceDN w:val="0"/>
        <w:adjustRightInd w:val="0"/>
        <w:spacing w:after="0" w:line="240" w:lineRule="auto"/>
        <w:jc w:val="both"/>
        <w:rPr>
          <w:rFonts w:ascii="Calibri" w:hAnsi="Calibri" w:cs="Calibri"/>
          <w:color w:val="000000"/>
        </w:rPr>
      </w:pPr>
    </w:p>
    <w:tbl>
      <w:tblPr>
        <w:tblW w:w="0" w:type="auto"/>
        <w:tblInd w:w="113" w:type="dxa"/>
        <w:tblLayout w:type="fixed"/>
        <w:tblCellMar>
          <w:left w:w="0" w:type="dxa"/>
          <w:right w:w="0" w:type="dxa"/>
        </w:tblCellMar>
        <w:tblLook w:val="0000" w:firstRow="0" w:lastRow="0" w:firstColumn="0" w:lastColumn="0" w:noHBand="0" w:noVBand="0"/>
      </w:tblPr>
      <w:tblGrid>
        <w:gridCol w:w="2618"/>
        <w:gridCol w:w="2062"/>
        <w:gridCol w:w="2394"/>
        <w:gridCol w:w="2394"/>
      </w:tblGrid>
      <w:tr w:rsidR="00673CE7">
        <w:tblPrEx>
          <w:tblCellMar>
            <w:top w:w="0" w:type="dxa"/>
            <w:left w:w="0" w:type="dxa"/>
            <w:bottom w:w="0" w:type="dxa"/>
            <w:right w:w="0" w:type="dxa"/>
          </w:tblCellMar>
        </w:tblPrEx>
        <w:trPr>
          <w:cantSplit/>
        </w:trPr>
        <w:tc>
          <w:tcPr>
            <w:tcW w:w="2618"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b/>
                <w:bCs/>
                <w:color w:val="000000"/>
                <w:sz w:val="22"/>
                <w:szCs w:val="22"/>
              </w:rPr>
            </w:pPr>
            <w:r>
              <w:rPr>
                <w:rFonts w:ascii="Calibri" w:hAnsi="Calibri" w:cs="Calibri"/>
                <w:b/>
                <w:bCs/>
                <w:color w:val="000000"/>
                <w:sz w:val="22"/>
                <w:szCs w:val="22"/>
              </w:rPr>
              <w:t>Position</w:t>
            </w:r>
          </w:p>
        </w:tc>
        <w:tc>
          <w:tcPr>
            <w:tcW w:w="2062"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b/>
                <w:bCs/>
                <w:color w:val="000000"/>
                <w:sz w:val="22"/>
                <w:szCs w:val="22"/>
              </w:rPr>
            </w:pPr>
            <w:r>
              <w:rPr>
                <w:rFonts w:ascii="Calibri" w:hAnsi="Calibri" w:cs="Calibri"/>
                <w:b/>
                <w:bCs/>
                <w:color w:val="000000"/>
                <w:sz w:val="22"/>
                <w:szCs w:val="22"/>
              </w:rPr>
              <w:t>Hourly</w:t>
            </w:r>
          </w:p>
        </w:tc>
        <w:tc>
          <w:tcPr>
            <w:tcW w:w="2394"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b/>
                <w:bCs/>
                <w:color w:val="000000"/>
                <w:sz w:val="22"/>
                <w:szCs w:val="22"/>
              </w:rPr>
            </w:pPr>
            <w:r>
              <w:rPr>
                <w:rFonts w:ascii="Calibri" w:hAnsi="Calibri" w:cs="Calibri"/>
                <w:b/>
                <w:bCs/>
                <w:color w:val="000000"/>
                <w:sz w:val="22"/>
                <w:szCs w:val="22"/>
              </w:rPr>
              <w:t>Monthly</w:t>
            </w:r>
          </w:p>
        </w:tc>
        <w:tc>
          <w:tcPr>
            <w:tcW w:w="2394"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b/>
                <w:bCs/>
                <w:color w:val="000000"/>
                <w:sz w:val="22"/>
                <w:szCs w:val="22"/>
              </w:rPr>
            </w:pPr>
            <w:r>
              <w:rPr>
                <w:rFonts w:ascii="Calibri" w:hAnsi="Calibri" w:cs="Calibri"/>
                <w:b/>
                <w:bCs/>
                <w:color w:val="000000"/>
                <w:sz w:val="22"/>
                <w:szCs w:val="22"/>
              </w:rPr>
              <w:t>Yearly</w:t>
            </w:r>
          </w:p>
        </w:tc>
      </w:tr>
      <w:tr w:rsidR="00673CE7">
        <w:tblPrEx>
          <w:tblCellMar>
            <w:top w:w="0" w:type="dxa"/>
            <w:left w:w="0" w:type="dxa"/>
            <w:bottom w:w="0" w:type="dxa"/>
            <w:right w:w="0" w:type="dxa"/>
          </w:tblCellMar>
        </w:tblPrEx>
        <w:trPr>
          <w:cantSplit/>
        </w:trPr>
        <w:tc>
          <w:tcPr>
            <w:tcW w:w="2618"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Chairperson</w:t>
            </w:r>
          </w:p>
        </w:tc>
        <w:tc>
          <w:tcPr>
            <w:tcW w:w="2062"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R189.00</w:t>
            </w:r>
          </w:p>
        </w:tc>
        <w:tc>
          <w:tcPr>
            <w:tcW w:w="2394"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R1512.00</w:t>
            </w:r>
          </w:p>
        </w:tc>
        <w:tc>
          <w:tcPr>
            <w:tcW w:w="2394"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R18144.00</w:t>
            </w:r>
          </w:p>
        </w:tc>
      </w:tr>
      <w:tr w:rsidR="00673CE7">
        <w:tblPrEx>
          <w:tblCellMar>
            <w:top w:w="0" w:type="dxa"/>
            <w:left w:w="0" w:type="dxa"/>
            <w:bottom w:w="0" w:type="dxa"/>
            <w:right w:w="0" w:type="dxa"/>
          </w:tblCellMar>
        </w:tblPrEx>
        <w:trPr>
          <w:cantSplit/>
        </w:trPr>
        <w:tc>
          <w:tcPr>
            <w:tcW w:w="2618"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Ordinary member</w:t>
            </w:r>
          </w:p>
        </w:tc>
        <w:tc>
          <w:tcPr>
            <w:tcW w:w="2062"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R147.00</w:t>
            </w:r>
          </w:p>
        </w:tc>
        <w:tc>
          <w:tcPr>
            <w:tcW w:w="2394"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R1176.00</w:t>
            </w:r>
          </w:p>
        </w:tc>
        <w:tc>
          <w:tcPr>
            <w:tcW w:w="2394" w:type="dxa"/>
            <w:tcBorders>
              <w:top w:val="single" w:sz="4" w:space="0" w:color="000000"/>
              <w:left w:val="single" w:sz="4" w:space="0" w:color="000000"/>
              <w:bottom w:val="single" w:sz="4" w:space="0" w:color="000000"/>
              <w:right w:val="single" w:sz="4" w:space="0" w:color="000000"/>
            </w:tcBorders>
          </w:tcPr>
          <w:p w:rsidR="00673CE7" w:rsidRDefault="00673CE7">
            <w:pPr>
              <w:pStyle w:val="NoSpacing"/>
              <w:jc w:val="both"/>
              <w:rPr>
                <w:rFonts w:ascii="Times New Roman" w:hAnsi="Times New Roman" w:cs="Times New Roman"/>
                <w:color w:val="000000"/>
                <w:sz w:val="22"/>
                <w:szCs w:val="22"/>
              </w:rPr>
            </w:pPr>
            <w:r>
              <w:rPr>
                <w:rFonts w:ascii="Calibri" w:hAnsi="Calibri" w:cs="Calibri"/>
                <w:color w:val="000000"/>
                <w:sz w:val="22"/>
                <w:szCs w:val="22"/>
              </w:rPr>
              <w:t>R14112.00</w:t>
            </w:r>
          </w:p>
        </w:tc>
      </w:tr>
    </w:tbl>
    <w:p w:rsidR="00673CE7" w:rsidRDefault="00673CE7" w:rsidP="00673CE7">
      <w:pPr>
        <w:pStyle w:val="NoSpacing"/>
        <w:rPr>
          <w:rFonts w:ascii="Times New Roman" w:hAnsi="Times New Roman" w:cs="Times New Roman"/>
          <w:color w:val="000000"/>
          <w:sz w:val="22"/>
          <w:szCs w:val="22"/>
        </w:rPr>
      </w:pPr>
    </w:p>
    <w:p w:rsidR="00673CE7" w:rsidRDefault="00673CE7" w:rsidP="00673CE7">
      <w:pPr>
        <w:autoSpaceDE w:val="0"/>
        <w:autoSpaceDN w:val="0"/>
        <w:adjustRightInd w:val="0"/>
        <w:spacing w:after="0" w:line="240" w:lineRule="auto"/>
        <w:jc w:val="both"/>
        <w:rPr>
          <w:rFonts w:ascii="Calibri" w:hAnsi="Calibri" w:cs="Calibri"/>
          <w:color w:val="000000"/>
        </w:rPr>
      </w:pP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It should be noted that the amounts indicated above covers all the expenses including travelling and subsistence.   </w:t>
      </w:r>
    </w:p>
    <w:p w:rsidR="00673CE7" w:rsidRDefault="00673CE7" w:rsidP="00673CE7">
      <w:pPr>
        <w:pStyle w:val="NoSpacing"/>
        <w:jc w:val="both"/>
        <w:rPr>
          <w:rFonts w:ascii="Calibri" w:hAnsi="Calibri" w:cs="Calibri"/>
          <w:color w:val="000000"/>
          <w:sz w:val="22"/>
          <w:szCs w:val="22"/>
        </w:rPr>
      </w:pPr>
      <w:r>
        <w:rPr>
          <w:rFonts w:ascii="Calibri" w:hAnsi="Calibri" w:cs="Calibri"/>
          <w:color w:val="000000"/>
          <w:sz w:val="22"/>
          <w:szCs w:val="22"/>
        </w:rPr>
        <w:t xml:space="preserve">The budget for the expenditure towards Clinic Committee remuneration shall come from the allocated budget to the Primary Health Care Facilities.  </w:t>
      </w:r>
    </w:p>
    <w:p w:rsidR="006D3EE5" w:rsidRDefault="00673CE7">
      <w:bookmarkStart w:id="0" w:name="_GoBack"/>
      <w:bookmarkEnd w:id="0"/>
    </w:p>
    <w:sectPr w:rsidR="006D3EE5" w:rsidSect="00E371B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E7"/>
    <w:rsid w:val="002117A5"/>
    <w:rsid w:val="00673CE7"/>
    <w:rsid w:val="007A7E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3CE7"/>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3CE7"/>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2013-01-30T10:28:00Z</dcterms:created>
  <dcterms:modified xsi:type="dcterms:W3CDTF">2013-01-30T10:28:00Z</dcterms:modified>
</cp:coreProperties>
</file>