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r w:rsidR="00E974F8">
              <w:t xml:space="preserve"> Judith Gwaringa</w:t>
            </w:r>
          </w:p>
          <w:p w:rsidR="007F44AC" w:rsidRDefault="007F44AC" w:rsidP="006F59AB"/>
        </w:tc>
        <w:tc>
          <w:tcPr>
            <w:tcW w:w="9246" w:type="dxa"/>
          </w:tcPr>
          <w:p w:rsidR="004C25EA" w:rsidRDefault="004C25EA" w:rsidP="004C25EA">
            <w:r>
              <w:t>Your best contact phone number:</w:t>
            </w:r>
            <w:r w:rsidR="00E974F8">
              <w:t>+263772708294</w:t>
            </w:r>
          </w:p>
        </w:tc>
      </w:tr>
      <w:tr w:rsidR="004C25EA" w:rsidTr="004C25EA">
        <w:tc>
          <w:tcPr>
            <w:tcW w:w="4928" w:type="dxa"/>
          </w:tcPr>
          <w:p w:rsidR="004C25EA" w:rsidRDefault="004C25EA">
            <w:r>
              <w:t xml:space="preserve">Position: </w:t>
            </w:r>
            <w:r w:rsidR="00E974F8">
              <w:t>Provincial Health Field Officer</w:t>
            </w:r>
          </w:p>
          <w:p w:rsidR="007F44AC" w:rsidRDefault="007F44AC"/>
        </w:tc>
        <w:tc>
          <w:tcPr>
            <w:tcW w:w="9246" w:type="dxa"/>
          </w:tcPr>
          <w:p w:rsidR="004C25EA" w:rsidRDefault="004C25EA">
            <w:r>
              <w:t>Your best contact email:</w:t>
            </w:r>
            <w:r w:rsidR="00E974F8">
              <w:t xml:space="preserve"> judith.gwaringa@cordaid.net</w:t>
            </w:r>
          </w:p>
        </w:tc>
      </w:tr>
      <w:tr w:rsidR="004C25EA" w:rsidTr="004C25EA">
        <w:tc>
          <w:tcPr>
            <w:tcW w:w="4928" w:type="dxa"/>
          </w:tcPr>
          <w:p w:rsidR="007F44AC" w:rsidRDefault="004C25EA">
            <w:r>
              <w:t xml:space="preserve">Organisation: </w:t>
            </w:r>
            <w:r w:rsidR="00E974F8">
              <w:t>CORDAID</w:t>
            </w:r>
          </w:p>
          <w:p w:rsidR="007F44AC" w:rsidRDefault="007F44AC"/>
        </w:tc>
        <w:tc>
          <w:tcPr>
            <w:tcW w:w="9246" w:type="dxa"/>
          </w:tcPr>
          <w:p w:rsidR="004C25EA" w:rsidRDefault="004C25EA">
            <w:r>
              <w:t>Organisation URL if applicable:</w:t>
            </w:r>
            <w:r w:rsidR="002C540D">
              <w:t xml:space="preserve"> www.Cordaid.org and </w:t>
            </w:r>
            <w:r w:rsidR="002C540D" w:rsidRPr="002C540D">
              <w:t>https://www.facebook.com/cordaidzimbabwe</w:t>
            </w:r>
          </w:p>
        </w:tc>
      </w:tr>
      <w:tr w:rsidR="007F44AC" w:rsidTr="004C25EA">
        <w:tc>
          <w:tcPr>
            <w:tcW w:w="4928" w:type="dxa"/>
          </w:tcPr>
          <w:p w:rsidR="007F44AC" w:rsidRDefault="007F44AC">
            <w:r>
              <w:t>Country:</w:t>
            </w:r>
            <w:r w:rsidR="00E974F8">
              <w:t>Zimbabwe</w:t>
            </w:r>
          </w:p>
          <w:p w:rsidR="007F44AC" w:rsidRDefault="007F44AC"/>
        </w:tc>
        <w:tc>
          <w:tcPr>
            <w:tcW w:w="9246" w:type="dxa"/>
          </w:tcPr>
          <w:p w:rsidR="00DB5A42" w:rsidRDefault="00DB5A42" w:rsidP="00DB5A42">
            <w:r>
              <w:t xml:space="preserve">Province or District: </w:t>
            </w:r>
            <w:r w:rsidR="008D64ED">
              <w:t xml:space="preserve">Matabeleland North Province: </w:t>
            </w:r>
            <w:r w:rsidR="002C540D">
              <w:t xml:space="preserve">Binga, Nkayi, </w:t>
            </w:r>
            <w:r w:rsidR="008D64ED">
              <w:t xml:space="preserve">Matabeleland South Province Province: </w:t>
            </w:r>
            <w:r w:rsidR="002C540D">
              <w:t xml:space="preserve">Mangwe, Gwanda, </w:t>
            </w:r>
            <w:r w:rsidR="008D64ED">
              <w:t>Mashvingo Province: Chiredzi, Mwenezi, Manicaland Province: Chipinge, Mutare, Mashonaland West Province: Kariba, Chegutu, Mashonalnd Central Province: Mazowe, Centeneray, Mashonaland East Province: Marondera, Chikomba, Mutoko, Midlands Province: Zvhishavane, Gweru, Gokwe South</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993C46">
            <w:r>
              <w:t>√</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993C46">
            <w:r>
              <w:t>√</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993C46">
            <w:r>
              <w:t>√</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993C46">
            <w:r>
              <w:t>Yes</w:t>
            </w:r>
          </w:p>
          <w:p w:rsidR="00187327" w:rsidRDefault="00187327"/>
        </w:tc>
        <w:tc>
          <w:tcPr>
            <w:tcW w:w="2693" w:type="dxa"/>
          </w:tcPr>
          <w:p w:rsidR="00187327" w:rsidRDefault="00993C46">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lastRenderedPageBreak/>
              <w:t xml:space="preserve">3.3 </w:t>
            </w:r>
            <w:r w:rsidR="00187327">
              <w:t xml:space="preserve">Are there other materials? </w:t>
            </w:r>
            <w:r w:rsidR="00F65987">
              <w:t>(yes/no)</w:t>
            </w:r>
          </w:p>
        </w:tc>
        <w:tc>
          <w:tcPr>
            <w:tcW w:w="2694" w:type="dxa"/>
          </w:tcPr>
          <w:p w:rsidR="00187327" w:rsidRDefault="00993C46">
            <w:r>
              <w:t>Yes</w:t>
            </w:r>
          </w:p>
        </w:tc>
        <w:tc>
          <w:tcPr>
            <w:tcW w:w="2693" w:type="dxa"/>
          </w:tcPr>
          <w:p w:rsidR="00187327" w:rsidRDefault="00993C46">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3.4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health governance</w:t>
            </w:r>
          </w:p>
        </w:tc>
        <w:tc>
          <w:tcPr>
            <w:tcW w:w="2694" w:type="dxa"/>
          </w:tcPr>
          <w:p w:rsidR="00097CB3" w:rsidRDefault="00993C46" w:rsidP="007022F6">
            <w:r>
              <w:t>√</w:t>
            </w:r>
            <w:r w:rsidR="008D64ED">
              <w:t>-HCCs sign the RBF agreement with Cordaid</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accountability</w:t>
            </w:r>
          </w:p>
        </w:tc>
        <w:tc>
          <w:tcPr>
            <w:tcW w:w="2694" w:type="dxa"/>
          </w:tcPr>
          <w:p w:rsidR="00097CB3" w:rsidRDefault="00993C46" w:rsidP="007022F6">
            <w:r>
              <w:t>√-HCCs manage RBF subsidies at clinic level</w:t>
            </w:r>
          </w:p>
          <w:p w:rsidR="008D64ED" w:rsidRDefault="00E13D6E" w:rsidP="007022F6">
            <w:r>
              <w:t>v-Results of client satisfaction surveys are reported to the HCC</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monitoring</w:t>
            </w:r>
          </w:p>
        </w:tc>
        <w:tc>
          <w:tcPr>
            <w:tcW w:w="2694" w:type="dxa"/>
          </w:tcPr>
          <w:p w:rsidR="00097CB3" w:rsidRDefault="00993C46" w:rsidP="007022F6">
            <w:r>
              <w:t>√-they submit quarterly reviews of MCH indicators and plans</w:t>
            </w:r>
            <w:r w:rsidR="008D64ED">
              <w:t xml:space="preserve"> as well as use of subsidy reports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problem solving</w:t>
            </w:r>
          </w:p>
        </w:tc>
        <w:tc>
          <w:tcPr>
            <w:tcW w:w="2694" w:type="dxa"/>
          </w:tcPr>
          <w:p w:rsidR="00E13D6E" w:rsidRDefault="00993C46" w:rsidP="007022F6">
            <w:r>
              <w:t xml:space="preserve">√- </w:t>
            </w:r>
            <w:r w:rsidR="00E13D6E">
              <w:t>HCC identifies priority problems to be addressed in health facility annual Operational Plans</w:t>
            </w:r>
          </w:p>
          <w:p w:rsidR="00097CB3" w:rsidRDefault="00E13D6E" w:rsidP="007022F6">
            <w:r>
              <w:t>√-</w:t>
            </w:r>
            <w:r w:rsidR="00993C46">
              <w:t>They solve problems identified by health workers and those raised through community based organisations who carry out client satisfaction surveys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fundraising</w:t>
            </w:r>
          </w:p>
        </w:tc>
        <w:tc>
          <w:tcPr>
            <w:tcW w:w="2694" w:type="dxa"/>
          </w:tcPr>
          <w:p w:rsidR="00097CB3" w:rsidRDefault="00993C46" w:rsidP="007022F6">
            <w:r>
              <w:t xml:space="preserve">√- expected to raise funds and support for health </w:t>
            </w:r>
            <w:r>
              <w:lastRenderedPageBreak/>
              <w:t>facilities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lastRenderedPageBreak/>
              <w:t>intersectoral work</w:t>
            </w:r>
          </w:p>
        </w:tc>
        <w:tc>
          <w:tcPr>
            <w:tcW w:w="2694" w:type="dxa"/>
          </w:tcPr>
          <w:p w:rsidR="00097CB3" w:rsidRDefault="00993C46" w:rsidP="007022F6">
            <w:r>
              <w:t>√-they work closely with other stakeholders at ward level to raise support</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Home-based care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committee skills</w:t>
            </w:r>
          </w:p>
        </w:tc>
        <w:tc>
          <w:tcPr>
            <w:tcW w:w="2694" w:type="dxa"/>
          </w:tcPr>
          <w:p w:rsidR="00097CB3" w:rsidRDefault="00993C46" w:rsidP="007022F6">
            <w:r>
              <w:t>√- committees are trained on group dynamics so that they are able to plan as a committee</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social determinants of health</w:t>
            </w:r>
          </w:p>
        </w:tc>
        <w:tc>
          <w:tcPr>
            <w:tcW w:w="2694" w:type="dxa"/>
          </w:tcPr>
          <w:p w:rsidR="00097CB3" w:rsidRDefault="00E13D6E" w:rsidP="007022F6">
            <w:r>
              <w:t>√- trained to be able to anal</w:t>
            </w:r>
            <w:r w:rsidR="00993C46">
              <w:t>y</w:t>
            </w:r>
            <w:r>
              <w:t>s</w:t>
            </w:r>
            <w:r w:rsidR="00993C46">
              <w:t xml:space="preserve">e health statistics and take corrective action </w:t>
            </w:r>
            <w:r>
              <w:t>that is relevant in the context of the circumstances of the target population</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political economy of health</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993C46" w:rsidP="007022F6">
            <w:r>
              <w:t>√- they are trained to understand the policy documents that govern their existence</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E13D6E" w:rsidP="007022F6">
            <w:r>
              <w:t>√- HCCs are a key participant in the annual planning and monitoring</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E13D6E" w:rsidP="007022F6">
            <w:r>
              <w:t>√-HCCs are a key participant in the annual budgeting and monitoring expenditure</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vulnerabilities</w:t>
            </w:r>
          </w:p>
        </w:tc>
        <w:tc>
          <w:tcPr>
            <w:tcW w:w="2694" w:type="dxa"/>
          </w:tcPr>
          <w:p w:rsidR="00342B95" w:rsidRDefault="00993C46" w:rsidP="007022F6">
            <w:r>
              <w:t>√- HCCs are expected to plan for inclusion of vulnerable communities in health access and quality</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conflict management</w:t>
            </w:r>
          </w:p>
        </w:tc>
        <w:tc>
          <w:tcPr>
            <w:tcW w:w="2694" w:type="dxa"/>
          </w:tcPr>
          <w:p w:rsidR="00342B95" w:rsidRDefault="00993C46" w:rsidP="007022F6">
            <w:r>
              <w:t xml:space="preserve">√- HCCs are trained to recognise and manage </w:t>
            </w:r>
            <w:r>
              <w:lastRenderedPageBreak/>
              <w:t>conflict</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lastRenderedPageBreak/>
              <w:t>health and human rights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literacy</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social mobilization</w:t>
            </w:r>
          </w:p>
        </w:tc>
        <w:tc>
          <w:tcPr>
            <w:tcW w:w="2694" w:type="dxa"/>
          </w:tcPr>
          <w:p w:rsidR="00342B95" w:rsidRDefault="00993C46" w:rsidP="007022F6">
            <w:r>
              <w:t>√- mobilise communities for participation in health programming</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EB154F" w:rsidP="007022F6">
            <w:r>
              <w:t>5 days with refresher training of 1 day</w:t>
            </w:r>
          </w:p>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EB154F" w:rsidP="007022F6">
            <w:r>
              <w:t>2011</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3C7B39"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3C7B39"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3C7B39" w:rsidP="00EB154F">
            <w:r>
              <w:t>Yes- monthly coaching of health centre staff</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EB154F" w:rsidP="00EB154F">
            <w:r>
              <w:t xml:space="preserve">Although initiated when Results Based Financing (RBF) started, RBF is now national policy and HCC training is part and parcel of the mechanism.  Although financially not yet sustainable, the system is well in place.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3C7B39" w:rsidP="007022F6">
            <w:r>
              <w:t>District health executives and CORDAID staff</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Default="003C7B39" w:rsidP="007022F6">
            <w:r>
              <w:t>Understanding of the programme implementation manual and the MOHCC financial guidelines for rural health centres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3C7B39" w:rsidP="007022F6">
            <w:r>
              <w:t>yes</w:t>
            </w:r>
          </w:p>
          <w:p w:rsidR="00B501D1" w:rsidRDefault="00B501D1" w:rsidP="007022F6"/>
        </w:tc>
        <w:tc>
          <w:tcPr>
            <w:tcW w:w="2693" w:type="dxa"/>
          </w:tcPr>
          <w:p w:rsidR="00B501D1" w:rsidRDefault="007367CC" w:rsidP="007022F6">
            <w:r>
              <w:t>The same as for HCCs</w:t>
            </w:r>
          </w:p>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803217" w:rsidP="007022F6">
            <w:r>
              <w:t>NGO Cordaid equipped District Health authorities. Training conducted jointly.</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993C46" w:rsidP="007022F6">
            <w:r>
              <w:t>√</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3C7B39" w:rsidP="007022F6">
            <w:r>
              <w:t>√</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3C7B39"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3C7B39" w:rsidP="007022F6">
            <w:r>
              <w:t>Participants share a common language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Default="003C7B39" w:rsidP="007022F6">
            <w:r>
              <w:t>Reports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whom is the training reported? </w:t>
            </w:r>
          </w:p>
        </w:tc>
        <w:tc>
          <w:tcPr>
            <w:tcW w:w="2694" w:type="dxa"/>
          </w:tcPr>
          <w:p w:rsidR="00B501D1" w:rsidRDefault="00803217" w:rsidP="007022F6">
            <w:r>
              <w:t>Provincial and District H</w:t>
            </w:r>
            <w:r w:rsidR="003C7B39">
              <w:t xml:space="preserve">ealth </w:t>
            </w:r>
            <w:r>
              <w:t>executives and CORDAID Harare</w:t>
            </w:r>
            <w:r w:rsidR="003C7B39">
              <w:t xml:space="preserve"> office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Default="003C7B39"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Default="003C7B39"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Default="00803217" w:rsidP="007022F6">
            <w:r>
              <w:t>Included in bi-annual reports to the Ministry of Health</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Default="003C7B39" w:rsidP="007022F6">
            <w:r>
              <w:t>No</w:t>
            </w:r>
            <w:r w:rsidR="00803217">
              <w:t>, but one could request a copy</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are publicly accessible, plesae</w:t>
            </w:r>
            <w:r w:rsidR="00B933E7">
              <w:t xml:space="preserve"> give URL</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lastRenderedPageBreak/>
              <w:t>Is the training evaluated? (yes/no)</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What process is used to evaluate training?</w:t>
            </w:r>
          </w:p>
        </w:tc>
        <w:tc>
          <w:tcPr>
            <w:tcW w:w="2694" w:type="dxa"/>
          </w:tcPr>
          <w:p w:rsidR="00B933E7" w:rsidRDefault="003C7B39" w:rsidP="007022F6">
            <w:r>
              <w:t>Quality of operational plans and adherence to guidelines</w:t>
            </w:r>
            <w:r w:rsidR="00803217">
              <w:t>. Performance of the Health Facility, assuming that a well governed HF performs better</w:t>
            </w:r>
            <w:bookmarkStart w:id="0" w:name="_GoBack"/>
            <w:bookmarkEnd w:id="0"/>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3C7B39" w:rsidP="003C7B39">
            <w:pPr>
              <w:pStyle w:val="ListParagraph"/>
              <w:ind w:left="357"/>
            </w:pPr>
            <w:r>
              <w:t>Community participation- communities were able to provide locally available building materials like bricks, sand and aggregate stones.</w:t>
            </w: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3C7B39" w:rsidP="003C7B39">
            <w:pPr>
              <w:pStyle w:val="ListParagraph"/>
              <w:ind w:left="357"/>
            </w:pPr>
            <w:r>
              <w:t>Local fundraising as communities feel that donor supported activities are well funded hence there is no need to raise local funds.</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3C7B39" w:rsidP="00C212AB">
            <w:r>
              <w:t xml:space="preserve">      Training fits in the broader policy as HCCs are expected to be the link between communities and health services.</w:t>
            </w:r>
          </w:p>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3C7B39" w:rsidP="003C7B39">
            <w:pPr>
              <w:ind w:left="357"/>
            </w:pPr>
            <w:r>
              <w:t>Yes- There is provision in the National Health Strategy and the RBF PIMto ensure all health facilities have a functional health centre committee.</w:t>
            </w:r>
          </w:p>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7367CC" w:rsidRDefault="007367CC" w:rsidP="00C212AB">
      <w:pPr>
        <w:pStyle w:val="ListParagraph"/>
      </w:pPr>
      <w:r>
        <w:t>Materials can be sent on email.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263" w:rsidRDefault="00395263" w:rsidP="00187327">
      <w:pPr>
        <w:spacing w:after="0" w:line="240" w:lineRule="auto"/>
      </w:pPr>
      <w:r>
        <w:separator/>
      </w:r>
    </w:p>
  </w:endnote>
  <w:endnote w:type="continuationSeparator" w:id="1">
    <w:p w:rsidR="00395263" w:rsidRDefault="00395263"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263" w:rsidRDefault="00395263" w:rsidP="00187327">
      <w:pPr>
        <w:spacing w:after="0" w:line="240" w:lineRule="auto"/>
      </w:pPr>
      <w:r>
        <w:separator/>
      </w:r>
    </w:p>
  </w:footnote>
  <w:footnote w:type="continuationSeparator" w:id="1">
    <w:p w:rsidR="00395263" w:rsidRDefault="00395263"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4C25EA"/>
    <w:rsid w:val="000254C5"/>
    <w:rsid w:val="00031E16"/>
    <w:rsid w:val="00097CB3"/>
    <w:rsid w:val="00136827"/>
    <w:rsid w:val="001448E3"/>
    <w:rsid w:val="00187327"/>
    <w:rsid w:val="002B651F"/>
    <w:rsid w:val="002C540D"/>
    <w:rsid w:val="002D48C9"/>
    <w:rsid w:val="00342B95"/>
    <w:rsid w:val="00353299"/>
    <w:rsid w:val="00395263"/>
    <w:rsid w:val="003B4704"/>
    <w:rsid w:val="003C7B39"/>
    <w:rsid w:val="00472CE3"/>
    <w:rsid w:val="004B018F"/>
    <w:rsid w:val="004C25EA"/>
    <w:rsid w:val="004D6FB1"/>
    <w:rsid w:val="00534528"/>
    <w:rsid w:val="00552A75"/>
    <w:rsid w:val="00573C0A"/>
    <w:rsid w:val="0066275D"/>
    <w:rsid w:val="006C6BEF"/>
    <w:rsid w:val="007350E7"/>
    <w:rsid w:val="007367CC"/>
    <w:rsid w:val="00785C45"/>
    <w:rsid w:val="007D6B62"/>
    <w:rsid w:val="007F44AC"/>
    <w:rsid w:val="00803217"/>
    <w:rsid w:val="00847A85"/>
    <w:rsid w:val="00851119"/>
    <w:rsid w:val="008D64ED"/>
    <w:rsid w:val="00993C46"/>
    <w:rsid w:val="00A6408E"/>
    <w:rsid w:val="00A66CD7"/>
    <w:rsid w:val="00A8503D"/>
    <w:rsid w:val="00A937BE"/>
    <w:rsid w:val="00AC2D3E"/>
    <w:rsid w:val="00B501D1"/>
    <w:rsid w:val="00B837B0"/>
    <w:rsid w:val="00B933E7"/>
    <w:rsid w:val="00C212AB"/>
    <w:rsid w:val="00C43D35"/>
    <w:rsid w:val="00CB2BE7"/>
    <w:rsid w:val="00CC4F57"/>
    <w:rsid w:val="00D84BC2"/>
    <w:rsid w:val="00DB5A42"/>
    <w:rsid w:val="00DC6998"/>
    <w:rsid w:val="00E13D6E"/>
    <w:rsid w:val="00E14C8D"/>
    <w:rsid w:val="00E974F8"/>
    <w:rsid w:val="00EA4133"/>
    <w:rsid w:val="00EB154F"/>
    <w:rsid w:val="00F65987"/>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1702</Words>
  <Characters>9706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2015-10-12T06:42:00Z</dcterms:created>
  <dcterms:modified xsi:type="dcterms:W3CDTF">2015-10-12T06:42:00Z</dcterms:modified>
</cp:coreProperties>
</file>